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B52D" w14:textId="77777777" w:rsidR="00160A5D" w:rsidRPr="00160A5D" w:rsidRDefault="00160A5D" w:rsidP="00160A5D">
      <w:pPr>
        <w:widowControl/>
        <w:spacing w:after="225"/>
        <w:textAlignment w:val="top"/>
        <w:outlineLvl w:val="2"/>
        <w:rPr>
          <w:rFonts w:ascii="Arial" w:eastAsia="微軟正黑體" w:hAnsi="Arial" w:cs="Arial"/>
          <w:b/>
          <w:bCs/>
          <w:color w:val="000000"/>
          <w:kern w:val="0"/>
          <w:sz w:val="30"/>
          <w:szCs w:val="30"/>
        </w:rPr>
      </w:pPr>
      <w:proofErr w:type="gramStart"/>
      <w:r w:rsidRPr="00160A5D">
        <w:rPr>
          <w:rFonts w:ascii="Arial" w:eastAsia="微軟正黑體" w:hAnsi="Arial" w:cs="Arial"/>
          <w:b/>
          <w:bCs/>
          <w:color w:val="000000"/>
          <w:kern w:val="0"/>
          <w:sz w:val="30"/>
          <w:szCs w:val="30"/>
        </w:rPr>
        <w:t>聖學錄</w:t>
      </w:r>
      <w:proofErr w:type="gramEnd"/>
    </w:p>
    <w:p w14:paraId="2D5651EC" w14:textId="77777777" w:rsidR="00160A5D" w:rsidRPr="00160A5D" w:rsidRDefault="00160A5D" w:rsidP="00160A5D">
      <w:pPr>
        <w:widowControl/>
        <w:spacing w:line="338" w:lineRule="atLeast"/>
        <w:textAlignment w:val="top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160A5D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t> </w:t>
      </w:r>
    </w:p>
    <w:p w14:paraId="639184A7" w14:textId="77777777" w:rsidR="00160A5D" w:rsidRPr="00160A5D" w:rsidRDefault="00160A5D" w:rsidP="00160A5D">
      <w:pPr>
        <w:widowControl/>
        <w:spacing w:line="338" w:lineRule="atLeast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『聖學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』是第四部，又稱為『聖賢集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』/『聖賢集』，選取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前賢聖哲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文章、歷史紀傳、啟蒙諸韻文詩詞賦等，利便學習提昇；日常使用，多為大而全的『聖學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』；『聖學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』的簡本，又稱為『弟子本』、『弟子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』/『聖賢弟子本』，是方便攜帶和平常翻閱的簡本，完全可以由各服膺『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夫子約章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』的載體、群體、個人自行從『聖學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』節錄選取，編出重點，亦可自行名命，如「人王聖君弟子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」、「勤學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」、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、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「二十四孝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」、「聖賢母親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」、「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學案弟子籙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」、「展康弟子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」等；『聖學</w:t>
      </w:r>
      <w:proofErr w:type="gramStart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籙</w:t>
      </w:r>
      <w:proofErr w:type="gramEnd"/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』則內容全面而更豐富，加入部份更深入的，以下各部份只作參考，但亦不限於以下各部份：</w:t>
      </w:r>
    </w:p>
    <w:p w14:paraId="609AE42A" w14:textId="77777777" w:rsidR="00160A5D" w:rsidRPr="00160A5D" w:rsidRDefault="00160A5D" w:rsidP="00160A5D">
      <w:pPr>
        <w:widowControl/>
        <w:spacing w:line="338" w:lineRule="atLeast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 </w:t>
      </w:r>
    </w:p>
    <w:p w14:paraId="313015DF" w14:textId="77777777" w:rsidR="00160A5D" w:rsidRPr="00160A5D" w:rsidRDefault="00160A5D" w:rsidP="00160A5D">
      <w:pPr>
        <w:widowControl/>
        <w:spacing w:line="338" w:lineRule="atLeast"/>
        <w:ind w:left="425" w:hanging="425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1</w:t>
      </w:r>
      <w:r w:rsidRPr="00160A5D">
        <w:rPr>
          <w:rFonts w:ascii="Times New Roman" w:eastAsia="標楷體" w:hAnsi="Times New Roman" w:cs="Times New Roman"/>
          <w:color w:val="222222"/>
          <w:kern w:val="0"/>
          <w:sz w:val="14"/>
          <w:szCs w:val="14"/>
          <w:bdr w:val="none" w:sz="0" w:space="0" w:color="auto" w:frame="1"/>
        </w:rPr>
        <w:t>    </w:t>
      </w: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諸經子部（包括儒、道、墨、法、陰陽、縱橫、農、名、雜等）、</w:t>
      </w:r>
    </w:p>
    <w:p w14:paraId="1CC3D418" w14:textId="77777777" w:rsidR="00160A5D" w:rsidRPr="00160A5D" w:rsidRDefault="00160A5D" w:rsidP="00160A5D">
      <w:pPr>
        <w:widowControl/>
        <w:spacing w:line="338" w:lineRule="atLeast"/>
        <w:ind w:left="425" w:hanging="425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2</w:t>
      </w:r>
      <w:r w:rsidRPr="00160A5D">
        <w:rPr>
          <w:rFonts w:ascii="Times New Roman" w:eastAsia="標楷體" w:hAnsi="Times New Roman" w:cs="Times New Roman"/>
          <w:color w:val="222222"/>
          <w:kern w:val="0"/>
          <w:sz w:val="14"/>
          <w:szCs w:val="14"/>
          <w:bdr w:val="none" w:sz="0" w:space="0" w:color="auto" w:frame="1"/>
        </w:rPr>
        <w:t>    </w:t>
      </w: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史部（諸華中的中華為主，也包括部份的諸華）、</w:t>
      </w:r>
    </w:p>
    <w:p w14:paraId="1FAC6C85" w14:textId="77777777" w:rsidR="00160A5D" w:rsidRPr="00160A5D" w:rsidRDefault="00160A5D" w:rsidP="00160A5D">
      <w:pPr>
        <w:widowControl/>
        <w:spacing w:line="338" w:lineRule="atLeast"/>
        <w:ind w:left="425" w:hanging="425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3</w:t>
      </w:r>
      <w:r w:rsidRPr="00160A5D">
        <w:rPr>
          <w:rFonts w:ascii="Times New Roman" w:eastAsia="標楷體" w:hAnsi="Times New Roman" w:cs="Times New Roman"/>
          <w:color w:val="222222"/>
          <w:kern w:val="0"/>
          <w:sz w:val="14"/>
          <w:szCs w:val="14"/>
          <w:bdr w:val="none" w:sz="0" w:space="0" w:color="auto" w:frame="1"/>
        </w:rPr>
        <w:t>    </w:t>
      </w: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學案部（宋明清民國前後道統及其後以來理學心學道學）、</w:t>
      </w:r>
    </w:p>
    <w:p w14:paraId="34CBEEF4" w14:textId="77777777" w:rsidR="00160A5D" w:rsidRPr="00160A5D" w:rsidRDefault="00160A5D" w:rsidP="00160A5D">
      <w:pPr>
        <w:widowControl/>
        <w:spacing w:line="338" w:lineRule="atLeast"/>
        <w:ind w:left="425" w:hanging="425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4</w:t>
      </w:r>
      <w:r w:rsidRPr="00160A5D">
        <w:rPr>
          <w:rFonts w:ascii="Times New Roman" w:eastAsia="標楷體" w:hAnsi="Times New Roman" w:cs="Times New Roman"/>
          <w:color w:val="222222"/>
          <w:kern w:val="0"/>
          <w:sz w:val="14"/>
          <w:szCs w:val="14"/>
          <w:bdr w:val="none" w:sz="0" w:space="0" w:color="auto" w:frame="1"/>
        </w:rPr>
        <w:t>    </w:t>
      </w: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近現代部（諸華文化價值智慧復興理論為主）</w:t>
      </w:r>
    </w:p>
    <w:p w14:paraId="0E9AC8CE" w14:textId="77777777" w:rsidR="00160A5D" w:rsidRPr="00160A5D" w:rsidRDefault="00160A5D" w:rsidP="00160A5D">
      <w:pPr>
        <w:widowControl/>
        <w:spacing w:line="338" w:lineRule="atLeast"/>
        <w:ind w:left="425" w:hanging="425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5</w:t>
      </w:r>
      <w:r w:rsidRPr="00160A5D">
        <w:rPr>
          <w:rFonts w:ascii="Times New Roman" w:eastAsia="標楷體" w:hAnsi="Times New Roman" w:cs="Times New Roman"/>
          <w:color w:val="222222"/>
          <w:kern w:val="0"/>
          <w:sz w:val="14"/>
          <w:szCs w:val="14"/>
          <w:bdr w:val="none" w:sz="0" w:space="0" w:color="auto" w:frame="1"/>
        </w:rPr>
        <w:t>    </w:t>
      </w: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通論部（華文化加各種學問，如加管理、加教育、加社會工作等）、</w:t>
      </w:r>
    </w:p>
    <w:p w14:paraId="63164938" w14:textId="77777777" w:rsidR="00160A5D" w:rsidRPr="00160A5D" w:rsidRDefault="00160A5D" w:rsidP="00160A5D">
      <w:pPr>
        <w:widowControl/>
        <w:spacing w:line="338" w:lineRule="atLeast"/>
        <w:ind w:left="425" w:hanging="425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6</w:t>
      </w:r>
      <w:r w:rsidRPr="00160A5D">
        <w:rPr>
          <w:rFonts w:ascii="Times New Roman" w:eastAsia="標楷體" w:hAnsi="Times New Roman" w:cs="Times New Roman"/>
          <w:color w:val="222222"/>
          <w:kern w:val="0"/>
          <w:sz w:val="14"/>
          <w:szCs w:val="14"/>
          <w:bdr w:val="none" w:sz="0" w:space="0" w:color="auto" w:frame="1"/>
        </w:rPr>
        <w:t>    </w:t>
      </w: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文學部，諸華詩詞散文戲曲等、</w:t>
      </w:r>
    </w:p>
    <w:p w14:paraId="6903E6FF" w14:textId="77777777" w:rsidR="00160A5D" w:rsidRPr="00160A5D" w:rsidRDefault="00160A5D" w:rsidP="00160A5D">
      <w:pPr>
        <w:widowControl/>
        <w:spacing w:line="338" w:lineRule="atLeast"/>
        <w:ind w:left="425" w:hanging="425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7</w:t>
      </w:r>
      <w:r w:rsidRPr="00160A5D">
        <w:rPr>
          <w:rFonts w:ascii="Times New Roman" w:eastAsia="標楷體" w:hAnsi="Times New Roman" w:cs="Times New Roman"/>
          <w:color w:val="222222"/>
          <w:kern w:val="0"/>
          <w:sz w:val="14"/>
          <w:szCs w:val="14"/>
          <w:bdr w:val="none" w:sz="0" w:space="0" w:color="auto" w:frame="1"/>
        </w:rPr>
        <w:t>    </w:t>
      </w: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內聖外王諸君部，包括：「十三人王聖君」、簡稱：諸君部；</w:t>
      </w:r>
    </w:p>
    <w:p w14:paraId="55C1B5ED" w14:textId="77777777" w:rsidR="00160A5D" w:rsidRPr="00160A5D" w:rsidRDefault="00160A5D" w:rsidP="00160A5D">
      <w:pPr>
        <w:widowControl/>
        <w:spacing w:line="338" w:lineRule="atLeast"/>
        <w:ind w:left="425" w:hanging="425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8</w:t>
      </w:r>
      <w:r w:rsidRPr="00160A5D">
        <w:rPr>
          <w:rFonts w:ascii="Times New Roman" w:eastAsia="標楷體" w:hAnsi="Times New Roman" w:cs="Times New Roman"/>
          <w:color w:val="222222"/>
          <w:kern w:val="0"/>
          <w:sz w:val="14"/>
          <w:szCs w:val="14"/>
          <w:bdr w:val="none" w:sz="0" w:space="0" w:color="auto" w:frame="1"/>
        </w:rPr>
        <w:t>    </w:t>
      </w: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諸華聖賢集部，包括日華文化、韓華文化、越華文化、泰華文化、緬華文化等；及</w:t>
      </w:r>
    </w:p>
    <w:p w14:paraId="036D3784" w14:textId="77777777" w:rsidR="00160A5D" w:rsidRPr="00160A5D" w:rsidRDefault="00160A5D" w:rsidP="00160A5D">
      <w:pPr>
        <w:widowControl/>
        <w:spacing w:line="338" w:lineRule="atLeast"/>
        <w:ind w:left="425" w:hanging="425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9</w:t>
      </w:r>
      <w:r w:rsidRPr="00160A5D">
        <w:rPr>
          <w:rFonts w:ascii="Times New Roman" w:eastAsia="標楷體" w:hAnsi="Times New Roman" w:cs="Times New Roman"/>
          <w:color w:val="222222"/>
          <w:kern w:val="0"/>
          <w:sz w:val="14"/>
          <w:szCs w:val="14"/>
          <w:bdr w:val="none" w:sz="0" w:space="0" w:color="auto" w:frame="1"/>
        </w:rPr>
        <w:t>    </w:t>
      </w:r>
      <w:r w:rsidRPr="00160A5D">
        <w:rPr>
          <w:rFonts w:ascii="標楷體" w:eastAsia="標楷體" w:hAnsi="標楷體" w:cs="Times New Roman" w:hint="eastAsia"/>
          <w:color w:val="222222"/>
          <w:kern w:val="0"/>
          <w:sz w:val="27"/>
          <w:szCs w:val="27"/>
          <w:bdr w:val="none" w:sz="0" w:space="0" w:color="auto" w:frame="1"/>
        </w:rPr>
        <w:t>圖地表畫像雕塑器皿雜部等；</w:t>
      </w:r>
    </w:p>
    <w:p w14:paraId="0FF78472" w14:textId="77777777" w:rsidR="00160A5D" w:rsidRPr="00160A5D" w:rsidRDefault="00160A5D" w:rsidP="00160A5D">
      <w:pPr>
        <w:widowControl/>
        <w:spacing w:line="338" w:lineRule="atLeast"/>
        <w:textAlignment w:val="top"/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</w:pPr>
      <w:r w:rsidRPr="00160A5D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t> </w:t>
      </w:r>
    </w:p>
    <w:p w14:paraId="54866CFF" w14:textId="77777777" w:rsidR="00F06002" w:rsidRPr="00160A5D" w:rsidRDefault="00F06002">
      <w:bookmarkStart w:id="0" w:name="_GoBack"/>
      <w:bookmarkEnd w:id="0"/>
    </w:p>
    <w:sectPr w:rsidR="00F06002" w:rsidRPr="00160A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18"/>
    <w:rsid w:val="000F4118"/>
    <w:rsid w:val="00160A5D"/>
    <w:rsid w:val="00F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FDE24-73C0-4F05-9DA4-6A1E471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60A5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60A5D"/>
    <w:rPr>
      <w:rFonts w:ascii="Times New Roman" w:eastAsia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2019-05-08T10:09:00Z</dcterms:created>
  <dcterms:modified xsi:type="dcterms:W3CDTF">2019-05-08T10:09:00Z</dcterms:modified>
</cp:coreProperties>
</file>